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9B8B21">
      <w:pPr>
        <w:jc w:val="center"/>
        <w:rPr>
          <w:rFonts w:hint="eastAsia"/>
          <w:b/>
          <w:bCs/>
          <w:sz w:val="48"/>
          <w:szCs w:val="56"/>
        </w:rPr>
      </w:pPr>
      <w:r>
        <w:rPr>
          <w:rFonts w:hint="eastAsia"/>
          <w:b/>
          <w:bCs/>
          <w:sz w:val="48"/>
          <w:szCs w:val="56"/>
        </w:rPr>
        <w:t>2026年全国教育科学规划终身教育体系研究专项申报公告</w:t>
      </w:r>
    </w:p>
    <w:p w14:paraId="58818B5D">
      <w:pPr>
        <w:rPr>
          <w:rFonts w:hint="eastAsia"/>
        </w:rPr>
      </w:pPr>
    </w:p>
    <w:p w14:paraId="036C8F83">
      <w:pPr>
        <w:keepNext w:val="0"/>
        <w:keepLines w:val="0"/>
        <w:widowControl/>
        <w:suppressLineNumbers w:val="0"/>
        <w:pBdr>
          <w:top w:val="none" w:color="auto" w:sz="0" w:space="0"/>
          <w:left w:val="none" w:color="auto" w:sz="0" w:space="0"/>
          <w:bottom w:val="none" w:color="auto" w:sz="0" w:space="0"/>
          <w:right w:val="none" w:color="auto" w:sz="0" w:space="0"/>
        </w:pBdr>
        <w:spacing w:before="312" w:beforeAutospacing="0" w:after="225" w:afterAutospacing="0" w:line="360" w:lineRule="atLeast"/>
        <w:ind w:left="0" w:right="0" w:firstLine="640"/>
        <w:jc w:val="left"/>
      </w:pPr>
      <w:r>
        <w:rPr>
          <w:rFonts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经教育部党组会审议批准，为做好全国教育科学规划终身教育体系研究专项（以下简称终身专项）申报工作，现就有关事项公告如下。</w:t>
      </w:r>
    </w:p>
    <w:p w14:paraId="2FAA680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ascii="黑体" w:hAnsi="宋体" w:eastAsia="黑体" w:cs="黑体"/>
          <w:i w:val="0"/>
          <w:iCs w:val="0"/>
          <w:caps w:val="0"/>
          <w:color w:val="303133"/>
          <w:spacing w:val="0"/>
          <w:kern w:val="0"/>
          <w:sz w:val="32"/>
          <w:szCs w:val="32"/>
          <w:bdr w:val="none" w:color="auto" w:sz="0" w:space="0"/>
          <w:shd w:val="clear" w:fill="FFFFFF"/>
          <w:lang w:val="en-US" w:eastAsia="zh-CN" w:bidi="ar"/>
        </w:rPr>
        <w:t>一、专项目的</w:t>
      </w:r>
      <w:bookmarkStart w:id="0" w:name="_GoBack"/>
      <w:bookmarkEnd w:id="0"/>
    </w:p>
    <w:p w14:paraId="6635447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终身专项面向《教育强国建设规划纲要（</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2024</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2035</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关于“构建泛在可及的终身教育体系”、党的二十届四中全会关于“优化终身学习公共服务”和《中华人民共和国国民经济和社会发展第十五个五年规划纲要》关于“优化终身学习公共服务，完善国家开放大学体系”的战略部署开展研究，强调研究与实践相结合，为构建泛在可及的终身教育体系、优化终身学习公共服务提供理论支撑和决策参考。</w:t>
      </w:r>
    </w:p>
    <w:p w14:paraId="6F35A69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eastAsia" w:ascii="黑体" w:hAnsi="宋体" w:eastAsia="黑体" w:cs="黑体"/>
          <w:i w:val="0"/>
          <w:iCs w:val="0"/>
          <w:caps w:val="0"/>
          <w:color w:val="303133"/>
          <w:spacing w:val="0"/>
          <w:kern w:val="0"/>
          <w:sz w:val="32"/>
          <w:szCs w:val="32"/>
          <w:bdr w:val="none" w:color="auto" w:sz="0" w:space="0"/>
          <w:shd w:val="clear" w:fill="FFFFFF"/>
          <w:lang w:val="en-US" w:eastAsia="zh-CN" w:bidi="ar"/>
        </w:rPr>
        <w:t>二、选题指南</w:t>
      </w:r>
    </w:p>
    <w:p w14:paraId="20593D2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申报终身专项，必须使用指南中的题目，并按照指南意图对研究进行设计，不可调整。自拟选题不予受理。每个选题原则上只确立</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1</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个立项项目。</w:t>
      </w:r>
    </w:p>
    <w:p w14:paraId="1E2A216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eastAsia" w:ascii="黑体" w:hAnsi="宋体" w:eastAsia="黑体" w:cs="黑体"/>
          <w:i w:val="0"/>
          <w:iCs w:val="0"/>
          <w:caps w:val="0"/>
          <w:color w:val="303133"/>
          <w:spacing w:val="0"/>
          <w:kern w:val="0"/>
          <w:sz w:val="32"/>
          <w:szCs w:val="32"/>
          <w:bdr w:val="none" w:color="auto" w:sz="0" w:space="0"/>
          <w:shd w:val="clear" w:fill="FFFFFF"/>
          <w:lang w:val="en-US" w:eastAsia="zh-CN" w:bidi="ar"/>
        </w:rPr>
        <w:t>三、资助额度</w:t>
      </w:r>
    </w:p>
    <w:p w14:paraId="63AB84F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专项项目类别和资助额度分别为：重大项目，每项资助额度为</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60</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万元；重点项目，每项资助额度为</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35</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万元；一般项目，每项资助额度为</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20</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万元。</w:t>
      </w:r>
    </w:p>
    <w:p w14:paraId="161EE32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eastAsia" w:ascii="黑体" w:hAnsi="宋体" w:eastAsia="黑体" w:cs="黑体"/>
          <w:i w:val="0"/>
          <w:iCs w:val="0"/>
          <w:caps w:val="0"/>
          <w:color w:val="303133"/>
          <w:spacing w:val="0"/>
          <w:kern w:val="0"/>
          <w:sz w:val="32"/>
          <w:szCs w:val="32"/>
          <w:bdr w:val="none" w:color="auto" w:sz="0" w:space="0"/>
          <w:shd w:val="clear" w:fill="FFFFFF"/>
          <w:lang w:val="en-US" w:eastAsia="zh-CN" w:bidi="ar"/>
        </w:rPr>
        <w:t>四、申报条件</w:t>
      </w:r>
    </w:p>
    <w:p w14:paraId="532C64A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（一）项目申请人须具备下列条件</w:t>
      </w:r>
    </w:p>
    <w:p w14:paraId="3F1A466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1.</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申请人须遵守中华人民共和国宪法和法律，坚持正确的政治方向、价值取向和研究导向，遵守全国教育科学规划项目有关管理规定。</w:t>
      </w:r>
    </w:p>
    <w:p w14:paraId="111DFB4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专项主要面向开放大学和高等学校，部委直属单位，省级及以上研究机构、党校（行政学院）等机构的研究人员。</w:t>
      </w:r>
    </w:p>
    <w:p w14:paraId="51ECD2F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3.</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申报重大项目须具有正高级专业技术职称，或担任厅局级（含）以上领导职务；申报重点项目和一般项目须具有副高级（含）以上专业技术职称，或担任厅局级（含）以上领导职务，或具有博士学位。项目组成员须包含开放大学在职教学或科研人员。</w:t>
      </w:r>
    </w:p>
    <w:p w14:paraId="0B3C102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4.</w:t>
      </w:r>
      <w:r>
        <w:rPr>
          <w:rFonts w:hint="eastAsia" w:ascii="宋体" w:hAnsi="宋体" w:eastAsia="宋体" w:cs="宋体"/>
          <w:i w:val="0"/>
          <w:iCs w:val="0"/>
          <w:caps w:val="0"/>
          <w:color w:val="303133"/>
          <w:spacing w:val="0"/>
          <w:kern w:val="0"/>
          <w:sz w:val="21"/>
          <w:szCs w:val="21"/>
          <w:bdr w:val="none" w:color="auto" w:sz="0" w:space="0"/>
          <w:shd w:val="clear" w:fill="FFFFFF"/>
          <w:lang w:val="en-US" w:eastAsia="zh-CN" w:bidi="ar"/>
        </w:rPr>
        <w:t> </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在研全国教育科学规划项目、国家社会科学基金项目、国家自然科学基金项目、教育部人文社会科学一般项目及其他国家级和教育部级项目的负责人不得申报专项。同年度申报上述国家级和教育部级项目的负责人不得申报专项。同年度全国教育科学规划项目的参与人不得作为项目负责人申报专项。</w:t>
      </w:r>
    </w:p>
    <w:p w14:paraId="604C739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5.</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凡以博士学位论文或博士后出站报告为基础申报本次终身专项，须在《全国教育科学规划项目申请书》（以下简称《申请书》）中，注明所申请项目与学位论文（出站报告）的联系和区别，申请鉴定结项时须提交学位论文（出站报告）原件。不得以与已发表、出版的内容基本相同的研究成果申报终身专项。</w:t>
      </w:r>
    </w:p>
    <w:p w14:paraId="0A4997D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（二）项目申请人所在单位须具备下列条件</w:t>
      </w:r>
    </w:p>
    <w:p w14:paraId="30B6A48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1.</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在相关领域具有较强的师资队伍、科研力量和扎实的学术积累，或丰富的实践经验。</w:t>
      </w:r>
    </w:p>
    <w:p w14:paraId="0E85584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设有专门负责科研管理工作的职能部门。</w:t>
      </w:r>
    </w:p>
    <w:p w14:paraId="4C71C0C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3.</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能够为开展研究工作提供必要条件，并承诺信誉保证。</w:t>
      </w:r>
    </w:p>
    <w:p w14:paraId="0044752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eastAsia" w:ascii="黑体" w:hAnsi="宋体" w:eastAsia="黑体" w:cs="黑体"/>
          <w:i w:val="0"/>
          <w:iCs w:val="0"/>
          <w:caps w:val="0"/>
          <w:color w:val="303133"/>
          <w:spacing w:val="0"/>
          <w:kern w:val="0"/>
          <w:sz w:val="32"/>
          <w:szCs w:val="32"/>
          <w:bdr w:val="none" w:color="auto" w:sz="0" w:space="0"/>
          <w:shd w:val="clear" w:fill="FFFFFF"/>
          <w:lang w:val="en-US" w:eastAsia="zh-CN" w:bidi="ar"/>
        </w:rPr>
        <w:t>五、申报要求</w:t>
      </w:r>
    </w:p>
    <w:p w14:paraId="083D2C2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1.</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终身专项申报不限额。各二级管理机构和申请单位要着力提高申报质量，宁缺毋滥。</w:t>
      </w:r>
    </w:p>
    <w:p w14:paraId="19264BF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专项研究年限为</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2-3</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年，不得延期。一般项目，要求至少提交</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1</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篇决策咨询报告被《全国教育科学规划课题成果要报》刊发、或被专项合作单位领导肯定性批示、或被专项合作单位及以上党政机关的内刊刊发，同时至少发表</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1</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篇中文核心期刊（或</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CSSCI</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SCI</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SSCI</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A&amp;HCI</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）论文。重大项目和重点项目的成果要求须高于一般项目，成果形式、数量和级别与资助金额和研究年限相匹配。</w:t>
      </w:r>
    </w:p>
    <w:p w14:paraId="46E8625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3.</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申请人应按照《全国教育科学规划课题管理办法》和全国教育科学规划项目资金管理有关办法（详见网站</w:t>
      </w:r>
      <w:r>
        <w:rPr>
          <w:rFonts w:hint="default" w:ascii="Times New Roman" w:hAnsi="Times New Roman" w:cs="Times New Roman" w:eastAsiaTheme="minorEastAsia"/>
          <w:i w:val="0"/>
          <w:iCs w:val="0"/>
          <w:caps w:val="0"/>
          <w:color w:val="004098"/>
          <w:spacing w:val="0"/>
          <w:kern w:val="0"/>
          <w:sz w:val="24"/>
          <w:szCs w:val="24"/>
          <w:u w:val="none"/>
          <w:bdr w:val="none" w:color="auto" w:sz="0" w:space="0"/>
          <w:shd w:val="clear" w:fill="FFFFFF"/>
          <w:lang w:val="en-US" w:eastAsia="zh-CN" w:bidi="ar"/>
        </w:rPr>
        <w:fldChar w:fldCharType="begin"/>
      </w:r>
      <w:r>
        <w:rPr>
          <w:rFonts w:hint="default" w:ascii="Times New Roman" w:hAnsi="Times New Roman" w:cs="Times New Roman" w:eastAsiaTheme="minorEastAsia"/>
          <w:i w:val="0"/>
          <w:iCs w:val="0"/>
          <w:caps w:val="0"/>
          <w:color w:val="004098"/>
          <w:spacing w:val="0"/>
          <w:kern w:val="0"/>
          <w:sz w:val="24"/>
          <w:szCs w:val="24"/>
          <w:u w:val="none"/>
          <w:bdr w:val="none" w:color="auto" w:sz="0" w:space="0"/>
          <w:shd w:val="clear" w:fill="FFFFFF"/>
          <w:lang w:val="en-US" w:eastAsia="zh-CN" w:bidi="ar"/>
        </w:rPr>
        <w:instrText xml:space="preserve"> HYPERLINK "https://onsgep.moe.edu.cn/" </w:instrText>
      </w:r>
      <w:r>
        <w:rPr>
          <w:rFonts w:hint="default" w:ascii="Times New Roman" w:hAnsi="Times New Roman" w:cs="Times New Roman" w:eastAsiaTheme="minorEastAsia"/>
          <w:i w:val="0"/>
          <w:iCs w:val="0"/>
          <w:caps w:val="0"/>
          <w:color w:val="004098"/>
          <w:spacing w:val="0"/>
          <w:kern w:val="0"/>
          <w:sz w:val="24"/>
          <w:szCs w:val="24"/>
          <w:u w:val="none"/>
          <w:bdr w:val="none" w:color="auto" w:sz="0" w:space="0"/>
          <w:shd w:val="clear" w:fill="FFFFFF"/>
          <w:lang w:val="en-US" w:eastAsia="zh-CN" w:bidi="ar"/>
        </w:rPr>
        <w:fldChar w:fldCharType="separate"/>
      </w:r>
      <w:r>
        <w:rPr>
          <w:rStyle w:val="4"/>
          <w:rFonts w:hint="default" w:ascii="Times New Roman" w:hAnsi="Times New Roman" w:cs="Times New Roman"/>
          <w:i w:val="0"/>
          <w:iCs w:val="0"/>
          <w:caps w:val="0"/>
          <w:color w:val="004098"/>
          <w:spacing w:val="0"/>
          <w:sz w:val="32"/>
          <w:szCs w:val="32"/>
          <w:u w:val="none"/>
          <w:bdr w:val="none" w:color="auto" w:sz="0" w:space="0"/>
          <w:shd w:val="clear" w:fill="FFFFFF"/>
        </w:rPr>
        <w:t>https://onsgep.moe.edu.cn/</w:t>
      </w:r>
      <w:r>
        <w:rPr>
          <w:rFonts w:hint="default" w:ascii="Times New Roman" w:hAnsi="Times New Roman" w:cs="Times New Roman" w:eastAsiaTheme="minorEastAsia"/>
          <w:i w:val="0"/>
          <w:iCs w:val="0"/>
          <w:caps w:val="0"/>
          <w:color w:val="004098"/>
          <w:spacing w:val="0"/>
          <w:kern w:val="0"/>
          <w:sz w:val="24"/>
          <w:szCs w:val="24"/>
          <w:u w:val="none"/>
          <w:bdr w:val="none" w:color="auto" w:sz="0" w:space="0"/>
          <w:shd w:val="clear" w:fill="FFFFFF"/>
          <w:lang w:val="en-US" w:eastAsia="zh-CN" w:bidi="ar"/>
        </w:rPr>
        <w:fldChar w:fldCharType="end"/>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）的要求，根据实际需要编制科学合理的经费预算。</w:t>
      </w:r>
    </w:p>
    <w:p w14:paraId="7A1E560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4.</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申请人应严格按照《申请书》和《活页》要求，如实填写材料，确保不存在知识产权争议和科研失信行为。对存在弄虚作假、抄袭剽窃等科研不端行为的，一经查实，</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5</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年内不得申报全国教育科学规划项目；已获立项的，立即撤项并通报批评，纳入科研信用不良记录，并责成所在单位依规追责。</w:t>
      </w:r>
    </w:p>
    <w:p w14:paraId="4CB9E99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5.</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获准立项的《申请书》视为具有约束力的资助合同文本。项目负责人应遵守相关承诺，履行约定义务，按期完成研究任务；申报时承诺的预期研究成果为结项时必须达到的要件，不得擅自变更。</w:t>
      </w:r>
    </w:p>
    <w:p w14:paraId="56EB2C4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eastAsia" w:ascii="黑体" w:hAnsi="宋体" w:eastAsia="黑体" w:cs="黑体"/>
          <w:i w:val="0"/>
          <w:iCs w:val="0"/>
          <w:caps w:val="0"/>
          <w:color w:val="303133"/>
          <w:spacing w:val="0"/>
          <w:kern w:val="0"/>
          <w:sz w:val="32"/>
          <w:szCs w:val="32"/>
          <w:bdr w:val="none" w:color="auto" w:sz="0" w:space="0"/>
          <w:shd w:val="clear" w:fill="FFFFFF"/>
          <w:lang w:val="en-US" w:eastAsia="zh-CN" w:bidi="ar"/>
        </w:rPr>
        <w:t>六、工作安排</w:t>
      </w:r>
    </w:p>
    <w:p w14:paraId="5C0ECDD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本年度终身专项实行网络申报。“全国教育科学规划管理平台”（</w:t>
      </w:r>
      <w:r>
        <w:rPr>
          <w:rFonts w:hint="default" w:ascii="Times New Roman" w:hAnsi="Times New Roman" w:cs="Times New Roman" w:eastAsiaTheme="minorEastAsia"/>
          <w:i w:val="0"/>
          <w:iCs w:val="0"/>
          <w:caps w:val="0"/>
          <w:color w:val="004098"/>
          <w:spacing w:val="0"/>
          <w:kern w:val="0"/>
          <w:sz w:val="24"/>
          <w:szCs w:val="24"/>
          <w:u w:val="none"/>
          <w:bdr w:val="none" w:color="auto" w:sz="0" w:space="0"/>
          <w:shd w:val="clear" w:fill="FFFFFF"/>
          <w:lang w:val="en-US" w:eastAsia="zh-CN" w:bidi="ar"/>
        </w:rPr>
        <w:fldChar w:fldCharType="begin"/>
      </w:r>
      <w:r>
        <w:rPr>
          <w:rFonts w:hint="default" w:ascii="Times New Roman" w:hAnsi="Times New Roman" w:cs="Times New Roman" w:eastAsiaTheme="minorEastAsia"/>
          <w:i w:val="0"/>
          <w:iCs w:val="0"/>
          <w:caps w:val="0"/>
          <w:color w:val="004098"/>
          <w:spacing w:val="0"/>
          <w:kern w:val="0"/>
          <w:sz w:val="24"/>
          <w:szCs w:val="24"/>
          <w:u w:val="none"/>
          <w:bdr w:val="none" w:color="auto" w:sz="0" w:space="0"/>
          <w:shd w:val="clear" w:fill="FFFFFF"/>
          <w:lang w:val="en-US" w:eastAsia="zh-CN" w:bidi="ar"/>
        </w:rPr>
        <w:instrText xml:space="preserve"> HYPERLINK "https://202.205.185.227/" </w:instrText>
      </w:r>
      <w:r>
        <w:rPr>
          <w:rFonts w:hint="default" w:ascii="Times New Roman" w:hAnsi="Times New Roman" w:cs="Times New Roman" w:eastAsiaTheme="minorEastAsia"/>
          <w:i w:val="0"/>
          <w:iCs w:val="0"/>
          <w:caps w:val="0"/>
          <w:color w:val="004098"/>
          <w:spacing w:val="0"/>
          <w:kern w:val="0"/>
          <w:sz w:val="24"/>
          <w:szCs w:val="24"/>
          <w:u w:val="none"/>
          <w:bdr w:val="none" w:color="auto" w:sz="0" w:space="0"/>
          <w:shd w:val="clear" w:fill="FFFFFF"/>
          <w:lang w:val="en-US" w:eastAsia="zh-CN" w:bidi="ar"/>
        </w:rPr>
        <w:fldChar w:fldCharType="separate"/>
      </w:r>
      <w:r>
        <w:rPr>
          <w:rStyle w:val="4"/>
          <w:rFonts w:hint="default" w:ascii="Times New Roman" w:hAnsi="Times New Roman" w:cs="Times New Roman"/>
          <w:i w:val="0"/>
          <w:iCs w:val="0"/>
          <w:caps w:val="0"/>
          <w:color w:val="004098"/>
          <w:spacing w:val="0"/>
          <w:sz w:val="32"/>
          <w:szCs w:val="32"/>
          <w:u w:val="none"/>
          <w:bdr w:val="none" w:color="auto" w:sz="0" w:space="0"/>
          <w:shd w:val="clear" w:fill="FFFFFF"/>
        </w:rPr>
        <w:t>https://202.205.185.227/</w:t>
      </w:r>
      <w:r>
        <w:rPr>
          <w:rFonts w:hint="default" w:ascii="Times New Roman" w:hAnsi="Times New Roman" w:cs="Times New Roman" w:eastAsiaTheme="minorEastAsia"/>
          <w:i w:val="0"/>
          <w:iCs w:val="0"/>
          <w:caps w:val="0"/>
          <w:color w:val="004098"/>
          <w:spacing w:val="0"/>
          <w:kern w:val="0"/>
          <w:sz w:val="24"/>
          <w:szCs w:val="24"/>
          <w:u w:val="none"/>
          <w:bdr w:val="none" w:color="auto" w:sz="0" w:space="0"/>
          <w:shd w:val="clear" w:fill="FFFFFF"/>
          <w:lang w:val="en-US" w:eastAsia="zh-CN" w:bidi="ar"/>
        </w:rPr>
        <w:fldChar w:fldCharType="end"/>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以下简称平台）中的“项目申报系统”为本次申报的唯一网络平台。网络申报办法及流程管理以该系统为准。项目申报材料可从全国教育科学规划领导小组办公室（以下简称全规办）平台或网站下载。全规办不直接受理个人申报。</w:t>
      </w:r>
    </w:p>
    <w:p w14:paraId="3966F57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（一）申报时间安排</w:t>
      </w:r>
    </w:p>
    <w:p w14:paraId="1322085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申报系统于</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2026</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6</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月</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10</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日零时至</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6</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月</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25</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日</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17</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时开放。在此期间申请人可登录平台，填写并导出《申请书》，签字并加盖单位公章后，全文扫描在一个文档中，跟</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PDF</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版本的《活页》一起提交到平台上。要确保线上线下《申请书》和《活页》内容完全一致。逾期系统自动关闭，不再受理申报（由省级教育科学规划办管理的单位需在此段时间内同步完成审核提交）。</w:t>
      </w:r>
    </w:p>
    <w:p w14:paraId="3BA167B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（二）审核时间安排</w:t>
      </w:r>
    </w:p>
    <w:p w14:paraId="7AC91F9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二级管理单位网上审核提交截止时间为</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2026</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7</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月</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3</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日</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17</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时。须把加盖公章的《申报数据汇总表》扫描件及审查合格的《申请书》《活页》在平台上提交至全规办。省级教育科学规划办无需在《申请书》上加盖公章。审核期间可以退回修改提交，但不能新增申报。请严格按照以上时间要求审核、报送材料，逾期不予受理。</w:t>
      </w:r>
    </w:p>
    <w:p w14:paraId="635C8E0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（三）立项后材料报送安排</w:t>
      </w:r>
    </w:p>
    <w:p w14:paraId="20BDCE8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专项《申请书》《活页》和《申报数据汇总表》均无需寄送纸质版。在平台上提交给全规办的所有材料均视为经过各级单位审核同意的文本。待立项公布后，请二级管理单位在1个月之内，在平台上下载所属立项项目的《申请书》（不需要《活页》），补全公章后扫描为一个PDF文档，上传至平台存档。</w:t>
      </w:r>
    </w:p>
    <w:p w14:paraId="13B818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若有问题需咨询，请先查看《</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202</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6</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年全国教育科学规划各类项目申报常见问题答疑》和《</w:t>
      </w:r>
      <w:r>
        <w:rPr>
          <w:rFonts w:hint="default" w:ascii="Times New Roman" w:hAnsi="Times New Roman" w:cs="Times New Roman" w:eastAsiaTheme="minorEastAsia"/>
          <w:i w:val="0"/>
          <w:iCs w:val="0"/>
          <w:caps w:val="0"/>
          <w:color w:val="004098"/>
          <w:spacing w:val="0"/>
          <w:kern w:val="0"/>
          <w:sz w:val="24"/>
          <w:szCs w:val="24"/>
          <w:u w:val="none"/>
          <w:bdr w:val="none" w:color="auto" w:sz="0" w:space="0"/>
          <w:shd w:val="clear" w:fill="FFFFFF"/>
          <w:lang w:val="en-US" w:eastAsia="zh-CN" w:bidi="ar"/>
        </w:rPr>
        <w:fldChar w:fldCharType="begin"/>
      </w:r>
      <w:r>
        <w:rPr>
          <w:rFonts w:hint="default" w:ascii="Times New Roman" w:hAnsi="Times New Roman" w:cs="Times New Roman" w:eastAsiaTheme="minorEastAsia"/>
          <w:i w:val="0"/>
          <w:iCs w:val="0"/>
          <w:caps w:val="0"/>
          <w:color w:val="004098"/>
          <w:spacing w:val="0"/>
          <w:kern w:val="0"/>
          <w:sz w:val="24"/>
          <w:szCs w:val="24"/>
          <w:u w:val="none"/>
          <w:bdr w:val="none" w:color="auto" w:sz="0" w:space="0"/>
          <w:shd w:val="clear" w:fill="FFFFFF"/>
          <w:lang w:val="en-US" w:eastAsia="zh-CN" w:bidi="ar"/>
        </w:rPr>
        <w:instrText xml:space="preserve"> HYPERLINK "https://202.205.185.227/indexAction!do_downLoad.action?fId=ff8080818f527e3a018f5b2a02b21127" </w:instrText>
      </w:r>
      <w:r>
        <w:rPr>
          <w:rFonts w:hint="default" w:ascii="Times New Roman" w:hAnsi="Times New Roman" w:cs="Times New Roman" w:eastAsiaTheme="minorEastAsia"/>
          <w:i w:val="0"/>
          <w:iCs w:val="0"/>
          <w:caps w:val="0"/>
          <w:color w:val="004098"/>
          <w:spacing w:val="0"/>
          <w:kern w:val="0"/>
          <w:sz w:val="24"/>
          <w:szCs w:val="24"/>
          <w:u w:val="none"/>
          <w:bdr w:val="none" w:color="auto" w:sz="0" w:space="0"/>
          <w:shd w:val="clear" w:fill="FFFFFF"/>
          <w:lang w:val="en-US" w:eastAsia="zh-CN" w:bidi="ar"/>
        </w:rPr>
        <w:fldChar w:fldCharType="separate"/>
      </w:r>
      <w:r>
        <w:rPr>
          <w:rStyle w:val="4"/>
          <w:rFonts w:hint="default" w:ascii="仿宋_GB2312" w:hAnsi="Times New Roman" w:eastAsia="仿宋_GB2312" w:cs="仿宋_GB2312"/>
          <w:i w:val="0"/>
          <w:iCs w:val="0"/>
          <w:caps w:val="0"/>
          <w:color w:val="004098"/>
          <w:spacing w:val="0"/>
          <w:sz w:val="32"/>
          <w:szCs w:val="32"/>
          <w:u w:val="none"/>
          <w:bdr w:val="none" w:color="auto" w:sz="0" w:space="0"/>
          <w:shd w:val="clear" w:fill="FFFFFF"/>
        </w:rPr>
        <w:t>全国教育科学规划管理平台操作手册</w:t>
      </w:r>
      <w:r>
        <w:rPr>
          <w:rStyle w:val="4"/>
          <w:rFonts w:hint="default" w:ascii="Times New Roman" w:hAnsi="Times New Roman" w:cs="Times New Roman"/>
          <w:i w:val="0"/>
          <w:iCs w:val="0"/>
          <w:caps w:val="0"/>
          <w:color w:val="004098"/>
          <w:spacing w:val="0"/>
          <w:sz w:val="32"/>
          <w:szCs w:val="32"/>
          <w:u w:val="none"/>
          <w:bdr w:val="none" w:color="auto" w:sz="0" w:space="0"/>
          <w:shd w:val="clear" w:fill="FFFFFF"/>
        </w:rPr>
        <w:t>—</w:t>
      </w:r>
      <w:r>
        <w:rPr>
          <w:rStyle w:val="4"/>
          <w:rFonts w:hint="default" w:ascii="仿宋_GB2312" w:hAnsi="Times New Roman" w:eastAsia="仿宋_GB2312" w:cs="仿宋_GB2312"/>
          <w:i w:val="0"/>
          <w:iCs w:val="0"/>
          <w:caps w:val="0"/>
          <w:color w:val="004098"/>
          <w:spacing w:val="0"/>
          <w:sz w:val="32"/>
          <w:szCs w:val="32"/>
          <w:u w:val="none"/>
          <w:bdr w:val="none" w:color="auto" w:sz="0" w:space="0"/>
          <w:shd w:val="clear" w:fill="FFFFFF"/>
        </w:rPr>
        <w:t>其他类别项目申报</w:t>
      </w:r>
      <w:r>
        <w:rPr>
          <w:rFonts w:hint="default" w:ascii="Times New Roman" w:hAnsi="Times New Roman" w:cs="Times New Roman" w:eastAsiaTheme="minorEastAsia"/>
          <w:i w:val="0"/>
          <w:iCs w:val="0"/>
          <w:caps w:val="0"/>
          <w:color w:val="004098"/>
          <w:spacing w:val="0"/>
          <w:kern w:val="0"/>
          <w:sz w:val="24"/>
          <w:szCs w:val="24"/>
          <w:u w:val="none"/>
          <w:bdr w:val="none" w:color="auto" w:sz="0" w:space="0"/>
          <w:shd w:val="clear" w:fill="FFFFFF"/>
          <w:lang w:val="en-US" w:eastAsia="zh-CN" w:bidi="ar"/>
        </w:rPr>
        <w:fldChar w:fldCharType="end"/>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》。再有疑问，二级管理单位咨询全规办，地方高校请先咨询本省教育科学规划办（省级教育科学规划办电话请上管理平台的“通知公告”栏目查询）。</w:t>
      </w:r>
    </w:p>
    <w:p w14:paraId="72443CD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w:t>
      </w:r>
    </w:p>
    <w:p w14:paraId="5057F6E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640" w:firstLine="640"/>
        <w:jc w:val="lef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全规办咨询电话：</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010—62003909</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62003308</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p>
    <w:p w14:paraId="59851E1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平台系统及技术问题请咨询</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400-800-1636</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，电子信箱：</w:t>
      </w:r>
      <w:r>
        <w:rPr>
          <w:rFonts w:hint="default" w:ascii="Times New Roman" w:hAnsi="Times New Roman" w:cs="Times New Roman" w:eastAsiaTheme="minorEastAsia"/>
          <w:i w:val="0"/>
          <w:iCs w:val="0"/>
          <w:caps w:val="0"/>
          <w:color w:val="004098"/>
          <w:spacing w:val="0"/>
          <w:kern w:val="0"/>
          <w:sz w:val="24"/>
          <w:szCs w:val="24"/>
          <w:u w:val="none"/>
          <w:bdr w:val="none" w:color="auto" w:sz="0" w:space="0"/>
          <w:shd w:val="clear" w:fill="FFFFFF"/>
          <w:lang w:val="en-US" w:eastAsia="zh-CN" w:bidi="ar"/>
        </w:rPr>
        <w:fldChar w:fldCharType="begin"/>
      </w:r>
      <w:r>
        <w:rPr>
          <w:rFonts w:hint="default" w:ascii="Times New Roman" w:hAnsi="Times New Roman" w:cs="Times New Roman" w:eastAsiaTheme="minorEastAsia"/>
          <w:i w:val="0"/>
          <w:iCs w:val="0"/>
          <w:caps w:val="0"/>
          <w:color w:val="004098"/>
          <w:spacing w:val="0"/>
          <w:kern w:val="0"/>
          <w:sz w:val="24"/>
          <w:szCs w:val="24"/>
          <w:u w:val="none"/>
          <w:bdr w:val="none" w:color="auto" w:sz="0" w:space="0"/>
          <w:shd w:val="clear" w:fill="FFFFFF"/>
          <w:lang w:val="en-US" w:eastAsia="zh-CN" w:bidi="ar"/>
        </w:rPr>
        <w:instrText xml:space="preserve"> HYPERLINK "mailto:support@e-plugger.com%E3%80%82" </w:instrText>
      </w:r>
      <w:r>
        <w:rPr>
          <w:rFonts w:hint="default" w:ascii="Times New Roman" w:hAnsi="Times New Roman" w:cs="Times New Roman" w:eastAsiaTheme="minorEastAsia"/>
          <w:i w:val="0"/>
          <w:iCs w:val="0"/>
          <w:caps w:val="0"/>
          <w:color w:val="004098"/>
          <w:spacing w:val="0"/>
          <w:kern w:val="0"/>
          <w:sz w:val="24"/>
          <w:szCs w:val="24"/>
          <w:u w:val="none"/>
          <w:bdr w:val="none" w:color="auto" w:sz="0" w:space="0"/>
          <w:shd w:val="clear" w:fill="FFFFFF"/>
          <w:lang w:val="en-US" w:eastAsia="zh-CN" w:bidi="ar"/>
        </w:rPr>
        <w:fldChar w:fldCharType="separate"/>
      </w:r>
      <w:r>
        <w:rPr>
          <w:rStyle w:val="4"/>
          <w:rFonts w:hint="default" w:ascii="Times New Roman" w:hAnsi="Times New Roman" w:cs="Times New Roman"/>
          <w:i w:val="0"/>
          <w:iCs w:val="0"/>
          <w:caps w:val="0"/>
          <w:color w:val="004098"/>
          <w:spacing w:val="0"/>
          <w:sz w:val="32"/>
          <w:szCs w:val="32"/>
          <w:u w:val="none"/>
          <w:bdr w:val="none" w:color="auto" w:sz="0" w:space="0"/>
          <w:shd w:val="clear" w:fill="FFFFFF"/>
        </w:rPr>
        <w:t>support@e-plugger.com</w:t>
      </w:r>
      <w:r>
        <w:rPr>
          <w:rStyle w:val="4"/>
          <w:rFonts w:hint="default" w:ascii="仿宋_GB2312" w:hAnsi="Times New Roman" w:eastAsia="仿宋_GB2312" w:cs="仿宋_GB2312"/>
          <w:i w:val="0"/>
          <w:iCs w:val="0"/>
          <w:caps w:val="0"/>
          <w:color w:val="004098"/>
          <w:spacing w:val="0"/>
          <w:sz w:val="32"/>
          <w:szCs w:val="32"/>
          <w:u w:val="none"/>
          <w:bdr w:val="none" w:color="auto" w:sz="0" w:space="0"/>
          <w:shd w:val="clear" w:fill="FFFFFF"/>
        </w:rPr>
        <w:t>。</w:t>
      </w:r>
      <w:r>
        <w:rPr>
          <w:rFonts w:hint="default" w:ascii="Times New Roman" w:hAnsi="Times New Roman" w:cs="Times New Roman" w:eastAsiaTheme="minorEastAsia"/>
          <w:i w:val="0"/>
          <w:iCs w:val="0"/>
          <w:caps w:val="0"/>
          <w:color w:val="004098"/>
          <w:spacing w:val="0"/>
          <w:kern w:val="0"/>
          <w:sz w:val="24"/>
          <w:szCs w:val="24"/>
          <w:u w:val="none"/>
          <w:bdr w:val="none" w:color="auto" w:sz="0" w:space="0"/>
          <w:shd w:val="clear" w:fill="FFFFFF"/>
          <w:lang w:val="en-US" w:eastAsia="zh-CN" w:bidi="ar"/>
        </w:rPr>
        <w:fldChar w:fldCharType="end"/>
      </w:r>
    </w:p>
    <w:p w14:paraId="7255905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w:t>
      </w:r>
    </w:p>
    <w:p w14:paraId="4FD8676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righ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全国教育科学规划领导小组办公室</w:t>
      </w:r>
    </w:p>
    <w:p w14:paraId="7DD2821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5120"/>
        <w:jc w:val="righ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202</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6</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6</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月</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1</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日</w:t>
      </w:r>
    </w:p>
    <w:p w14:paraId="5808250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420"/>
        <w:jc w:val="left"/>
      </w:pP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begin"/>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instrText xml:space="preserve"> HYPERLINK "https://onsgep.moe.edu.cn/storage/onsgep/onsgep/cn/article/2026/05/de25abc15a76f3ec52c675dd2aa3e883.docx" </w:instrText>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separate"/>
      </w:r>
      <w:r>
        <w:rPr>
          <w:rStyle w:val="4"/>
          <w:rFonts w:hint="default" w:ascii="仿宋_GB2312" w:hAnsi="Times New Roman" w:eastAsia="仿宋_GB2312" w:cs="仿宋_GB2312"/>
          <w:i w:val="0"/>
          <w:iCs w:val="0"/>
          <w:caps w:val="0"/>
          <w:color w:val="004098"/>
          <w:spacing w:val="0"/>
          <w:sz w:val="32"/>
          <w:szCs w:val="32"/>
          <w:u w:val="none"/>
          <w:bdr w:val="none" w:color="auto" w:sz="0" w:space="0"/>
          <w:shd w:val="clear" w:fill="FFFFFF"/>
        </w:rPr>
        <w:t>附件1.2026年全国教育科学规划终身教育体系研究专项指南.docx</w:t>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end"/>
      </w:r>
    </w:p>
    <w:p w14:paraId="341AF83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420"/>
        <w:jc w:val="left"/>
      </w:pP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begin"/>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instrText xml:space="preserve"> HYPERLINK "https://onsgep.moe.edu.cn/storage/onsgep/onsgep/cn/article/2026/06/b4d49bb769375d099f9243e24cb765b6.docx" </w:instrText>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separate"/>
      </w:r>
      <w:r>
        <w:rPr>
          <w:rStyle w:val="4"/>
          <w:rFonts w:hint="default" w:ascii="仿宋_GB2312" w:hAnsi="Times New Roman" w:eastAsia="仿宋_GB2312" w:cs="仿宋_GB2312"/>
          <w:i w:val="0"/>
          <w:iCs w:val="0"/>
          <w:caps w:val="0"/>
          <w:color w:val="004098"/>
          <w:spacing w:val="0"/>
          <w:sz w:val="32"/>
          <w:szCs w:val="32"/>
          <w:u w:val="none"/>
          <w:bdr w:val="none" w:color="auto" w:sz="0" w:space="0"/>
          <w:shd w:val="clear" w:fill="FFFFFF"/>
        </w:rPr>
        <w:t>附件2.2026年全国教育科学规划年度项目（国家重点、国家一般、国家青年、教育部重点、教育部青年、博士生项目、专项）申请书.docx</w:t>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end"/>
      </w:r>
    </w:p>
    <w:p w14:paraId="20FBAE6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420"/>
        <w:jc w:val="left"/>
      </w:pP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begin"/>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instrText xml:space="preserve"> HYPERLINK "https://onsgep.moe.edu.cn/storage/onsgep/onsgep/cn/article/2026/05/2904718848b68fe8bc8ef0a23694f3ec.doc" </w:instrText>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separate"/>
      </w:r>
      <w:r>
        <w:rPr>
          <w:rStyle w:val="4"/>
          <w:rFonts w:hint="default" w:ascii="仿宋_GB2312" w:hAnsi="Times New Roman" w:eastAsia="仿宋_GB2312" w:cs="仿宋_GB2312"/>
          <w:i w:val="0"/>
          <w:iCs w:val="0"/>
          <w:caps w:val="0"/>
          <w:color w:val="004098"/>
          <w:spacing w:val="0"/>
          <w:sz w:val="32"/>
          <w:szCs w:val="32"/>
          <w:u w:val="none"/>
          <w:bdr w:val="none" w:color="auto" w:sz="0" w:space="0"/>
          <w:shd w:val="clear" w:fill="FFFFFF"/>
        </w:rPr>
        <w:t>附件3.2026年全国教育科学规划项目（国家重点、国家一般、国家青年、教育部重点、教育部青年、博士生项目、专项）-活页.doc.doc</w:t>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end"/>
      </w:r>
    </w:p>
    <w:p w14:paraId="168E709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420"/>
        <w:jc w:val="left"/>
      </w:pP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begin"/>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instrText xml:space="preserve"> HYPERLINK "https://onsgep.moe.edu.cn/storage/onsgep/onsgep/cn/article/2026/05/dce4ac447ef126635218808e90bc29de.doc" </w:instrText>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separate"/>
      </w:r>
      <w:r>
        <w:rPr>
          <w:rStyle w:val="4"/>
          <w:rFonts w:hint="default" w:ascii="仿宋_GB2312" w:hAnsi="Times New Roman" w:eastAsia="仿宋_GB2312" w:cs="仿宋_GB2312"/>
          <w:i w:val="0"/>
          <w:iCs w:val="0"/>
          <w:caps w:val="0"/>
          <w:color w:val="004098"/>
          <w:spacing w:val="0"/>
          <w:sz w:val="32"/>
          <w:szCs w:val="32"/>
          <w:u w:val="none"/>
          <w:bdr w:val="none" w:color="auto" w:sz="0" w:space="0"/>
          <w:shd w:val="clear" w:fill="FFFFFF"/>
        </w:rPr>
        <w:t>附件4.2026年全国教育科学规划各类项目申报常见问题答疑.doc</w:t>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end"/>
      </w:r>
    </w:p>
    <w:p w14:paraId="012DD01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420"/>
        <w:jc w:val="left"/>
      </w:pP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begin"/>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instrText xml:space="preserve"> HYPERLINK "https://onsgep.moe.edu.cn/storage/onsgep/onsgep/cn/article/2026/06/99bcb482f7f9d964aa4b8751f01e7b8e.doc" </w:instrText>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separate"/>
      </w:r>
      <w:r>
        <w:rPr>
          <w:rStyle w:val="4"/>
          <w:rFonts w:hint="default" w:ascii="仿宋_GB2312" w:hAnsi="Times New Roman" w:eastAsia="仿宋_GB2312" w:cs="仿宋_GB2312"/>
          <w:i w:val="0"/>
          <w:iCs w:val="0"/>
          <w:caps w:val="0"/>
          <w:color w:val="004098"/>
          <w:spacing w:val="0"/>
          <w:sz w:val="32"/>
          <w:szCs w:val="32"/>
          <w:u w:val="none"/>
          <w:bdr w:val="none" w:color="auto" w:sz="0" w:space="0"/>
          <w:shd w:val="clear" w:fill="FFFFFF"/>
        </w:rPr>
        <w:t>附件5.2026年全国教育科学规划终身教育体系研究专项重大项目投标书.doc</w:t>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end"/>
      </w:r>
    </w:p>
    <w:p w14:paraId="748858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420"/>
        <w:jc w:val="left"/>
      </w:pPr>
      <w:r>
        <w:rPr>
          <w:rFonts w:hint="default" w:ascii="Times New Roman" w:hAnsi="Times New Roman" w:cs="Times New Roman" w:eastAsiaTheme="minorEastAsia"/>
          <w:i w:val="0"/>
          <w:iCs w:val="0"/>
          <w:caps w:val="0"/>
          <w:color w:val="303133"/>
          <w:spacing w:val="0"/>
          <w:kern w:val="0"/>
          <w:sz w:val="24"/>
          <w:szCs w:val="24"/>
          <w:bdr w:val="none" w:color="auto" w:sz="0" w:space="0"/>
          <w:shd w:val="clear" w:fill="FFFFFF"/>
          <w:lang w:val="en-US" w:eastAsia="zh-CN" w:bidi="ar"/>
        </w:rPr>
        <w:t> </w:t>
      </w:r>
    </w:p>
    <w:p w14:paraId="2F0CC9F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26" w:right="-226"/>
        <w:jc w:val="left"/>
      </w:pPr>
    </w:p>
    <w:p w14:paraId="2AF4A960">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A040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2026-06-11T02:24:43Z</dcterms:created>
  <dc:creator>HP</dc:creator>
  <cp:lastModifiedBy>hsso</cp:lastModifiedBy>
  <dcterms:modified xsi:type="dcterms:W3CDTF">2026-06-11T02:25:47Z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eyJoZGlkIjoiNjVkOTBiMGIzNzIxMDlmMjY0NWIxM2Q1MTQ5MDY1NWUiLCJ1c2VySWQiOiI1MTQxMDk0OTMifQ==</vt:lpwstr>
  </property>
  <property fmtid="{D5CDD505-2E9C-101B-9397-08002B2CF9AE}" pid="4" name="ICV">
    <vt:lpwstr>D274437D2BE146B39C848173D2A9A0AB_12</vt:lpwstr>
  </property>
</Properties>
</file>